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2A" w:rsidRDefault="00C06B2A" w:rsidP="00C06B2A">
      <w:pPr>
        <w:pStyle w:val="Default"/>
        <w:rPr>
          <w:b/>
          <w:sz w:val="28"/>
          <w:szCs w:val="22"/>
        </w:rPr>
      </w:pPr>
      <w:r>
        <w:rPr>
          <w:b/>
          <w:sz w:val="28"/>
          <w:szCs w:val="22"/>
        </w:rPr>
        <w:t>2012</w:t>
      </w:r>
      <w:r>
        <w:rPr>
          <w:b/>
          <w:sz w:val="28"/>
          <w:szCs w:val="22"/>
        </w:rPr>
        <w:t xml:space="preserve"> YILI KURUMSAL İTİBAR ARAŞTIRMASI</w:t>
      </w:r>
    </w:p>
    <w:p w:rsidR="00C06B2A" w:rsidRDefault="00C06B2A" w:rsidP="00C06B2A">
      <w:pPr>
        <w:pStyle w:val="Default"/>
        <w:rPr>
          <w:sz w:val="22"/>
          <w:szCs w:val="22"/>
        </w:rPr>
      </w:pPr>
    </w:p>
    <w:p w:rsidR="00C06B2A" w:rsidRDefault="00C06B2A" w:rsidP="00C06B2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Örneklem planı İETT’nin paydaşları düşünülerek oluşturulmuştur. Randevulu yüz yü</w:t>
      </w:r>
      <w:r>
        <w:rPr>
          <w:sz w:val="22"/>
          <w:szCs w:val="22"/>
        </w:rPr>
        <w:t>ze anket tekniği kullanılarak 42 Tedarikçi, 19 Operatör, 20 Sivil Toplum Kuruluşu, 56 Kamu Paydaşı, 21</w:t>
      </w:r>
      <w:r>
        <w:rPr>
          <w:sz w:val="22"/>
          <w:szCs w:val="22"/>
        </w:rPr>
        <w:t xml:space="preserve"> Basın ile anket çalışması yapılmıştır. Yüz yüz</w:t>
      </w:r>
      <w:r>
        <w:rPr>
          <w:sz w:val="22"/>
          <w:szCs w:val="22"/>
        </w:rPr>
        <w:t>e anket tekniği kullanılarak 106 Firma Personeli ve 264</w:t>
      </w:r>
      <w:r>
        <w:rPr>
          <w:sz w:val="22"/>
          <w:szCs w:val="22"/>
        </w:rPr>
        <w:t xml:space="preserve"> Kurum Personeli (işçi) ile anket çalışması yapılmıştır. Onlin</w:t>
      </w:r>
      <w:r>
        <w:rPr>
          <w:sz w:val="22"/>
          <w:szCs w:val="22"/>
        </w:rPr>
        <w:t>e anket tekniği kullanılarak 180</w:t>
      </w:r>
      <w:r>
        <w:rPr>
          <w:sz w:val="22"/>
          <w:szCs w:val="22"/>
        </w:rPr>
        <w:t xml:space="preserve"> memur personel tarafından anket doldurulmuştur. CATI yöntemi kullanıla</w:t>
      </w:r>
      <w:r>
        <w:rPr>
          <w:sz w:val="22"/>
          <w:szCs w:val="22"/>
        </w:rPr>
        <w:t>rak 1040</w:t>
      </w:r>
      <w:r>
        <w:rPr>
          <w:sz w:val="22"/>
          <w:szCs w:val="22"/>
        </w:rPr>
        <w:t xml:space="preserve"> dış müşteriden de kuruma ait g</w:t>
      </w:r>
      <w:r>
        <w:rPr>
          <w:sz w:val="22"/>
          <w:szCs w:val="22"/>
        </w:rPr>
        <w:t>örüşler alınmıştır. Çalışma 1748</w:t>
      </w:r>
      <w:r>
        <w:rPr>
          <w:sz w:val="22"/>
          <w:szCs w:val="22"/>
        </w:rPr>
        <w:t xml:space="preserve"> anket ile tamamlanmıştır. </w:t>
      </w:r>
    </w:p>
    <w:p w:rsidR="00C06B2A" w:rsidRDefault="00C06B2A" w:rsidP="00C06B2A">
      <w:pPr>
        <w:ind w:firstLine="708"/>
      </w:pPr>
      <w:bookmarkStart w:id="0" w:name="_GoBack"/>
      <w:bookmarkEnd w:id="0"/>
    </w:p>
    <w:tbl>
      <w:tblPr>
        <w:tblStyle w:val="OrtaGlgeleme2-Vurgu5"/>
        <w:tblW w:w="3961" w:type="pct"/>
        <w:tblInd w:w="0" w:type="dxa"/>
        <w:tblLook w:val="0660" w:firstRow="1" w:lastRow="1" w:firstColumn="0" w:lastColumn="0" w:noHBand="1" w:noVBand="1"/>
      </w:tblPr>
      <w:tblGrid>
        <w:gridCol w:w="3026"/>
        <w:gridCol w:w="2055"/>
        <w:gridCol w:w="2055"/>
        <w:gridCol w:w="222"/>
      </w:tblGrid>
      <w:tr w:rsidR="00C06B2A" w:rsidTr="00C06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7" w:type="pct"/>
            <w:tcBorders>
              <w:left w:val="nil"/>
              <w:right w:val="nil"/>
            </w:tcBorders>
            <w:noWrap/>
            <w:hideMark/>
          </w:tcPr>
          <w:p w:rsidR="00C06B2A" w:rsidRDefault="00C06B2A">
            <w:pPr>
              <w:spacing w:before="0" w:beforeAutospacing="0" w:after="0" w:afterAutospacing="0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PAYDAŞ</w:t>
            </w:r>
          </w:p>
        </w:tc>
        <w:tc>
          <w:tcPr>
            <w:tcW w:w="1471" w:type="pct"/>
            <w:tcBorders>
              <w:left w:val="nil"/>
              <w:right w:val="nil"/>
            </w:tcBorders>
            <w:hideMark/>
          </w:tcPr>
          <w:p w:rsidR="00C06B2A" w:rsidRDefault="00C06B2A">
            <w:pPr>
              <w:spacing w:before="0" w:beforeAutospacing="0" w:after="0" w:afterAutospacing="0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 xml:space="preserve">         2012</w:t>
            </w:r>
            <w:r>
              <w:rPr>
                <w:sz w:val="28"/>
                <w:szCs w:val="28"/>
                <w:lang w:eastAsia="tr-TR"/>
              </w:rPr>
              <w:t xml:space="preserve"> YILI</w:t>
            </w: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C06B2A" w:rsidRDefault="00C06B2A">
            <w:pPr>
              <w:spacing w:before="0" w:beforeAutospacing="0" w:after="0" w:afterAutospacing="0"/>
              <w:rPr>
                <w:lang w:eastAsia="tr-TR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:rsidR="00C06B2A" w:rsidRDefault="00C06B2A">
            <w:pPr>
              <w:spacing w:before="0" w:beforeAutospacing="0" w:after="0" w:afterAutospacing="0"/>
              <w:rPr>
                <w:lang w:eastAsia="tr-TR"/>
              </w:rPr>
            </w:pPr>
          </w:p>
        </w:tc>
      </w:tr>
      <w:tr w:rsidR="00C06B2A" w:rsidTr="00C06B2A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06B2A" w:rsidRDefault="00C06B2A">
            <w:pPr>
              <w:rPr>
                <w:lang w:eastAsia="tr-T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rPr>
                <w:rStyle w:val="HafifVurgulama"/>
                <w:color w:val="7F7F7F" w:themeColor="text1" w:themeTint="80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rPr>
                <w:lang w:eastAsia="tr-T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rPr>
                <w:lang w:eastAsia="tr-TR"/>
              </w:rPr>
            </w:pPr>
          </w:p>
        </w:tc>
      </w:tr>
      <w:tr w:rsidR="00C06B2A" w:rsidTr="00C06B2A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6B2A" w:rsidRDefault="00C06B2A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Tedarikçiler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06B2A" w:rsidRDefault="00C06B2A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85,7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pStyle w:val="DecimalAligned"/>
              <w:rPr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pStyle w:val="DecimalAligned"/>
              <w:rPr>
                <w:lang w:eastAsia="en-US"/>
              </w:rPr>
            </w:pPr>
          </w:p>
        </w:tc>
      </w:tr>
      <w:tr w:rsidR="00C06B2A" w:rsidTr="00C06B2A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6B2A" w:rsidRDefault="00C06B2A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Kamu Paydaşı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06B2A" w:rsidRDefault="00C06B2A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77,4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pStyle w:val="DecimalAligned"/>
              <w:rPr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pStyle w:val="DecimalAligned"/>
              <w:rPr>
                <w:lang w:eastAsia="en-US"/>
              </w:rPr>
            </w:pPr>
          </w:p>
        </w:tc>
      </w:tr>
      <w:tr w:rsidR="00C06B2A" w:rsidTr="00C06B2A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6B2A" w:rsidRDefault="00C06B2A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Sivil Toplum Kuruluşu 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06B2A" w:rsidRDefault="00C06B2A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79,9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pStyle w:val="DecimalAligned"/>
              <w:rPr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pStyle w:val="DecimalAligned"/>
              <w:rPr>
                <w:lang w:eastAsia="en-US"/>
              </w:rPr>
            </w:pPr>
          </w:p>
        </w:tc>
      </w:tr>
      <w:tr w:rsidR="00C06B2A" w:rsidTr="00C06B2A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6B2A" w:rsidRDefault="00C06B2A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Firma Personeli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06B2A" w:rsidRDefault="00C06B2A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82,7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pStyle w:val="DecimalAligned"/>
              <w:rPr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pStyle w:val="DecimalAligned"/>
              <w:rPr>
                <w:lang w:eastAsia="en-US"/>
              </w:rPr>
            </w:pPr>
          </w:p>
        </w:tc>
      </w:tr>
      <w:tr w:rsidR="00C06B2A" w:rsidTr="00C06B2A">
        <w:trPr>
          <w:trHeight w:val="1372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6B2A" w:rsidRDefault="00C06B2A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Kurum Personeli</w:t>
            </w:r>
          </w:p>
          <w:p w:rsidR="00C06B2A" w:rsidRDefault="00C06B2A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Basın</w:t>
            </w:r>
          </w:p>
          <w:p w:rsidR="00C06B2A" w:rsidRDefault="00C06B2A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Genel Kurumsal İtibar Değeri</w:t>
            </w:r>
          </w:p>
          <w:p w:rsidR="00C06B2A" w:rsidRDefault="00C06B2A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Operatörler</w:t>
            </w:r>
          </w:p>
          <w:p w:rsidR="00C06B2A" w:rsidRDefault="00C06B2A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Dış Müşteri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06B2A" w:rsidRDefault="00C06B2A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74,6</w:t>
            </w:r>
            <w:r>
              <w:rPr>
                <w:sz w:val="24"/>
                <w:szCs w:val="24"/>
                <w:lang w:eastAsia="en-US"/>
              </w:rPr>
              <w:t>%</w:t>
            </w:r>
          </w:p>
          <w:p w:rsidR="00C06B2A" w:rsidRDefault="00C06B2A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71,0</w:t>
            </w:r>
            <w:r>
              <w:rPr>
                <w:sz w:val="24"/>
                <w:szCs w:val="24"/>
                <w:lang w:eastAsia="en-US"/>
              </w:rPr>
              <w:t>%</w:t>
            </w:r>
          </w:p>
          <w:p w:rsidR="00C06B2A" w:rsidRDefault="00C06B2A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77,5</w:t>
            </w:r>
            <w:r>
              <w:rPr>
                <w:sz w:val="24"/>
                <w:szCs w:val="24"/>
                <w:lang w:eastAsia="en-US"/>
              </w:rPr>
              <w:t>%</w:t>
            </w:r>
          </w:p>
          <w:p w:rsidR="00C06B2A" w:rsidRDefault="00C06B2A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83,7</w:t>
            </w:r>
            <w:r>
              <w:rPr>
                <w:sz w:val="24"/>
                <w:szCs w:val="24"/>
                <w:lang w:eastAsia="en-US"/>
              </w:rPr>
              <w:t>%</w:t>
            </w:r>
          </w:p>
          <w:p w:rsidR="00C06B2A" w:rsidRDefault="00C06B2A">
            <w:pPr>
              <w:pStyle w:val="DecimalAligned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72,7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pStyle w:val="DecimalAligned"/>
              <w:rPr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pStyle w:val="DecimalAligned"/>
              <w:rPr>
                <w:lang w:eastAsia="en-US"/>
              </w:rPr>
            </w:pPr>
          </w:p>
        </w:tc>
      </w:tr>
      <w:tr w:rsidR="00C06B2A" w:rsidTr="00C06B2A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06B2A" w:rsidRDefault="00C06B2A">
            <w:pPr>
              <w:rPr>
                <w:lang w:eastAsia="tr-T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rPr>
                <w:rStyle w:val="HafifVurgulama"/>
                <w:color w:val="7F7F7F" w:themeColor="text1" w:themeTint="80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rPr>
                <w:lang w:eastAsia="tr-T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C06B2A" w:rsidRDefault="00C06B2A">
            <w:pPr>
              <w:rPr>
                <w:lang w:eastAsia="tr-TR"/>
              </w:rPr>
            </w:pPr>
          </w:p>
        </w:tc>
      </w:tr>
      <w:tr w:rsidR="00C06B2A" w:rsidTr="00C06B2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7" w:type="pct"/>
            <w:tcBorders>
              <w:left w:val="nil"/>
              <w:right w:val="nil"/>
            </w:tcBorders>
            <w:noWrap/>
          </w:tcPr>
          <w:p w:rsidR="00C06B2A" w:rsidRDefault="00C06B2A">
            <w:pPr>
              <w:spacing w:before="0" w:beforeAutospacing="0" w:after="0" w:afterAutospacing="0"/>
              <w:rPr>
                <w:lang w:eastAsia="tr-TR"/>
              </w:rPr>
            </w:pP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C06B2A" w:rsidRDefault="00C06B2A">
            <w:pPr>
              <w:pStyle w:val="DecimalAligned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C06B2A" w:rsidRDefault="00C06B2A">
            <w:pPr>
              <w:pStyle w:val="DecimalAligned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:rsidR="00C06B2A" w:rsidRDefault="00C06B2A">
            <w:pPr>
              <w:pStyle w:val="DecimalAligned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C06B2A" w:rsidRDefault="00C06B2A" w:rsidP="00C06B2A">
      <w:pPr>
        <w:ind w:firstLine="708"/>
      </w:pPr>
    </w:p>
    <w:p w:rsidR="00C06B2A" w:rsidRDefault="00C06B2A" w:rsidP="00C06B2A">
      <w:pPr>
        <w:ind w:firstLine="708"/>
      </w:pPr>
    </w:p>
    <w:p w:rsidR="00C06B2A" w:rsidRDefault="00C06B2A" w:rsidP="00C06B2A">
      <w:pPr>
        <w:ind w:firstLine="708"/>
      </w:pPr>
    </w:p>
    <w:p w:rsidR="00C06B2A" w:rsidRDefault="00C06B2A" w:rsidP="00C06B2A">
      <w:r>
        <w:t xml:space="preserve">* </w:t>
      </w:r>
      <w:proofErr w:type="gramStart"/>
      <w:r>
        <w:t>CATI : Telefonla</w:t>
      </w:r>
      <w:proofErr w:type="gramEnd"/>
      <w:r>
        <w:t xml:space="preserve"> anket yöntemi</w:t>
      </w:r>
    </w:p>
    <w:p w:rsidR="00F35014" w:rsidRDefault="00F35014"/>
    <w:sectPr w:rsidR="00F35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7A"/>
    <w:rsid w:val="00933C7A"/>
    <w:rsid w:val="00C06B2A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06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06B2A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qFormat/>
    <w:rsid w:val="00C06B2A"/>
    <w:rPr>
      <w:i/>
      <w:iCs/>
      <w:color w:val="7F7F7F" w:themeColor="text1" w:themeTint="80"/>
      <w14:textFill>
        <w14:solidFill>
          <w14:srgbClr w14:val="000000"/>
        </w14:solidFill>
      </w14:textFill>
    </w:rPr>
  </w:style>
  <w:style w:type="table" w:styleId="OrtaGlgeleme2-Vurgu5">
    <w:name w:val="Medium Shading 2 Accent 5"/>
    <w:basedOn w:val="NormalTablo"/>
    <w:uiPriority w:val="64"/>
    <w:rsid w:val="00C06B2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06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06B2A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qFormat/>
    <w:rsid w:val="00C06B2A"/>
    <w:rPr>
      <w:i/>
      <w:iCs/>
      <w:color w:val="7F7F7F" w:themeColor="text1" w:themeTint="80"/>
      <w14:textFill>
        <w14:solidFill>
          <w14:srgbClr w14:val="000000"/>
        </w14:solidFill>
      </w14:textFill>
    </w:rPr>
  </w:style>
  <w:style w:type="table" w:styleId="OrtaGlgeleme2-Vurgu5">
    <w:name w:val="Medium Shading 2 Accent 5"/>
    <w:basedOn w:val="NormalTablo"/>
    <w:uiPriority w:val="64"/>
    <w:rsid w:val="00C06B2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3</cp:revision>
  <dcterms:created xsi:type="dcterms:W3CDTF">2018-03-07T11:48:00Z</dcterms:created>
  <dcterms:modified xsi:type="dcterms:W3CDTF">2018-03-07T11:57:00Z</dcterms:modified>
</cp:coreProperties>
</file>